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2"/>
          <w:szCs w:val="28"/>
        </w:rPr>
      </w:pPr>
    </w:p>
    <w:p>
      <w:pPr>
        <w:ind w:firstLine="2891" w:firstLineChars="1200"/>
        <w:rPr>
          <w:rFonts w:hint="default" w:ascii="Times New Roman" w:hAnsi="Times New Roman" w:cs="Times New Roman"/>
          <w:b/>
          <w:bCs/>
          <w:sz w:val="24"/>
          <w:szCs w:val="32"/>
        </w:rPr>
      </w:pPr>
      <w:r>
        <w:rPr>
          <w:rFonts w:hint="default" w:ascii="Times New Roman" w:hAnsi="Times New Roman" w:cs="Times New Roman"/>
          <w:b/>
          <w:bCs/>
          <w:sz w:val="24"/>
          <w:szCs w:val="32"/>
        </w:rPr>
        <w:t xml:space="preserve">RY-ZL Extruding </w:t>
      </w:r>
      <w:r>
        <w:rPr>
          <w:rFonts w:hint="eastAsia" w:ascii="Times New Roman" w:hAnsi="Times New Roman" w:cs="Times New Roman"/>
          <w:b/>
          <w:bCs/>
          <w:sz w:val="24"/>
          <w:szCs w:val="32"/>
          <w:lang w:val="en-US" w:eastAsia="zh-CN"/>
        </w:rPr>
        <w:t>Granulation</w:t>
      </w:r>
      <w:r>
        <w:rPr>
          <w:rFonts w:hint="default" w:ascii="Times New Roman" w:hAnsi="Times New Roman" w:cs="Times New Roman"/>
          <w:b/>
          <w:bCs/>
          <w:sz w:val="24"/>
          <w:szCs w:val="32"/>
        </w:rPr>
        <w:t xml:space="preserve"> Machine</w:t>
      </w:r>
    </w:p>
    <w:p>
      <w:pPr>
        <w:jc w:val="left"/>
        <w:rPr>
          <w:rFonts w:hint="default" w:ascii="Times New Roman" w:hAnsi="Times New Roman" w:cs="Times New Roman"/>
          <w:sz w:val="21"/>
          <w:szCs w:val="24"/>
        </w:rPr>
      </w:pPr>
    </w:p>
    <w:p>
      <w:pPr>
        <w:jc w:val="left"/>
        <w:rPr>
          <w:rFonts w:hint="default" w:ascii="Times New Roman" w:hAnsi="Times New Roman" w:cs="Times New Roman"/>
          <w:b/>
          <w:bCs/>
          <w:sz w:val="21"/>
          <w:szCs w:val="24"/>
        </w:rPr>
      </w:pPr>
      <w:r>
        <w:rPr>
          <w:rFonts w:hint="default" w:ascii="Times New Roman" w:hAnsi="Times New Roman" w:cs="Times New Roman"/>
          <w:b/>
          <w:bCs/>
          <w:sz w:val="21"/>
          <w:szCs w:val="24"/>
        </w:rPr>
        <w:t xml:space="preserve">The main </w:t>
      </w:r>
      <w:r>
        <w:rPr>
          <w:rFonts w:hint="eastAsia" w:ascii="Times New Roman" w:hAnsi="Times New Roman" w:cs="Times New Roman"/>
          <w:b/>
          <w:bCs/>
          <w:sz w:val="21"/>
          <w:szCs w:val="24"/>
          <w:lang w:val="en-US" w:eastAsia="zh-CN"/>
        </w:rPr>
        <w:t>application</w:t>
      </w:r>
      <w:r>
        <w:rPr>
          <w:rFonts w:hint="default" w:ascii="Times New Roman" w:hAnsi="Times New Roman" w:cs="Times New Roman"/>
          <w:b/>
          <w:bCs/>
          <w:sz w:val="21"/>
          <w:szCs w:val="24"/>
        </w:rPr>
        <w:t xml:space="preserve"> and characteristics of the equipment</w:t>
      </w:r>
    </w:p>
    <w:p>
      <w:pPr>
        <w:jc w:val="left"/>
        <w:rPr>
          <w:rFonts w:hint="default" w:ascii="Times New Roman" w:hAnsi="Times New Roman" w:cs="Times New Roman"/>
          <w:sz w:val="21"/>
          <w:szCs w:val="24"/>
        </w:rPr>
      </w:pPr>
      <w:r>
        <w:rPr>
          <w:rFonts w:hint="default" w:ascii="Times New Roman" w:hAnsi="Times New Roman" w:cs="Times New Roman"/>
          <w:sz w:val="21"/>
          <w:szCs w:val="24"/>
        </w:rPr>
        <w:t>The machine is mainly used for (biological) organic fertili</w:t>
      </w:r>
      <w:r>
        <w:rPr>
          <w:rFonts w:hint="eastAsia" w:ascii="Times New Roman" w:hAnsi="Times New Roman" w:cs="Times New Roman"/>
          <w:sz w:val="21"/>
          <w:szCs w:val="24"/>
          <w:lang w:val="en-US" w:eastAsia="zh-CN"/>
        </w:rPr>
        <w:t>z</w:t>
      </w:r>
      <w:r>
        <w:rPr>
          <w:rFonts w:hint="default" w:ascii="Times New Roman" w:hAnsi="Times New Roman" w:cs="Times New Roman"/>
          <w:sz w:val="21"/>
          <w:szCs w:val="24"/>
        </w:rPr>
        <w:t>er and aquaculture processing industry, the machine processed granular materials with a smooth surface, hardness in the words, in the process of processing,</w:t>
      </w:r>
      <w:r>
        <w:rPr>
          <w:rFonts w:hint="eastAsia" w:ascii="Times New Roman" w:hAnsi="Times New Roman" w:cs="Times New Roman"/>
          <w:sz w:val="21"/>
          <w:szCs w:val="24"/>
          <w:lang w:val="en-US" w:eastAsia="zh-CN"/>
        </w:rPr>
        <w:t>low</w:t>
      </w:r>
      <w:r>
        <w:rPr>
          <w:rFonts w:hint="default" w:ascii="Times New Roman" w:hAnsi="Times New Roman" w:cs="Times New Roman"/>
          <w:sz w:val="21"/>
          <w:szCs w:val="24"/>
        </w:rPr>
        <w:t xml:space="preserve"> temperature ris</w:t>
      </w:r>
      <w:r>
        <w:rPr>
          <w:rFonts w:hint="eastAsia" w:ascii="Times New Roman" w:hAnsi="Times New Roman" w:cs="Times New Roman"/>
          <w:sz w:val="21"/>
          <w:szCs w:val="24"/>
          <w:lang w:val="en-US" w:eastAsia="zh-CN"/>
        </w:rPr>
        <w:t>ing,</w:t>
      </w:r>
      <w:r>
        <w:rPr>
          <w:rFonts w:hint="default" w:ascii="Times New Roman" w:hAnsi="Times New Roman" w:cs="Times New Roman"/>
          <w:sz w:val="21"/>
          <w:szCs w:val="24"/>
        </w:rPr>
        <w:t>and can maintain the internal nutrients of the raw materials, due to the number of particles of low water content for storage, greatly improving the utili</w:t>
      </w:r>
      <w:r>
        <w:rPr>
          <w:rFonts w:hint="eastAsia" w:ascii="Times New Roman" w:hAnsi="Times New Roman" w:cs="Times New Roman"/>
          <w:sz w:val="21"/>
          <w:szCs w:val="24"/>
          <w:lang w:val="en-US" w:eastAsia="zh-CN"/>
        </w:rPr>
        <w:t>z</w:t>
      </w:r>
      <w:r>
        <w:rPr>
          <w:rFonts w:hint="default" w:ascii="Times New Roman" w:hAnsi="Times New Roman" w:cs="Times New Roman"/>
          <w:sz w:val="21"/>
          <w:szCs w:val="24"/>
        </w:rPr>
        <w:t>ation rate of the materials.</w:t>
      </w:r>
    </w:p>
    <w:p>
      <w:pPr>
        <w:jc w:val="left"/>
        <w:rPr>
          <w:rFonts w:hint="default" w:ascii="Times New Roman" w:hAnsi="Times New Roman" w:cs="Times New Roman"/>
          <w:sz w:val="21"/>
          <w:szCs w:val="24"/>
        </w:rPr>
      </w:pPr>
      <w:r>
        <w:rPr>
          <w:rFonts w:hint="default" w:ascii="Times New Roman" w:hAnsi="Times New Roman" w:cs="Times New Roman"/>
          <w:sz w:val="21"/>
          <w:szCs w:val="24"/>
        </w:rPr>
        <w:t>Project investment</w:t>
      </w:r>
      <w:r>
        <w:rPr>
          <w:rFonts w:hint="eastAsia" w:ascii="Times New Roman" w:hAnsi="Times New Roman" w:cs="Times New Roman"/>
          <w:sz w:val="21"/>
          <w:szCs w:val="24"/>
          <w:lang w:val="en-US" w:eastAsia="zh-CN"/>
        </w:rPr>
        <w:t xml:space="preserve"> is low</w:t>
      </w:r>
      <w:r>
        <w:rPr>
          <w:rFonts w:hint="default" w:ascii="Times New Roman" w:hAnsi="Times New Roman" w:cs="Times New Roman"/>
          <w:sz w:val="21"/>
          <w:szCs w:val="24"/>
        </w:rPr>
        <w:t xml:space="preserve">, short equipment </w:t>
      </w:r>
      <w:r>
        <w:rPr>
          <w:rFonts w:hint="eastAsia" w:ascii="Times New Roman" w:hAnsi="Times New Roman" w:cs="Times New Roman"/>
          <w:sz w:val="21"/>
          <w:szCs w:val="24"/>
          <w:lang w:val="en-US" w:eastAsia="zh-CN"/>
        </w:rPr>
        <w:t xml:space="preserve">operation </w:t>
      </w:r>
      <w:r>
        <w:rPr>
          <w:rFonts w:hint="default" w:ascii="Times New Roman" w:hAnsi="Times New Roman" w:cs="Times New Roman"/>
          <w:sz w:val="21"/>
          <w:szCs w:val="24"/>
        </w:rPr>
        <w:t xml:space="preserve">flow, </w:t>
      </w:r>
      <w:r>
        <w:rPr>
          <w:rFonts w:hint="eastAsia" w:ascii="Times New Roman" w:hAnsi="Times New Roman" w:cs="Times New Roman"/>
          <w:sz w:val="21"/>
          <w:szCs w:val="24"/>
          <w:lang w:val="en-US" w:eastAsia="zh-CN"/>
        </w:rPr>
        <w:t xml:space="preserve">less land </w:t>
      </w:r>
      <w:r>
        <w:rPr>
          <w:rFonts w:hint="default" w:ascii="Times New Roman" w:hAnsi="Times New Roman" w:cs="Times New Roman"/>
          <w:sz w:val="21"/>
          <w:szCs w:val="24"/>
        </w:rPr>
        <w:t>occup</w:t>
      </w:r>
      <w:r>
        <w:rPr>
          <w:rFonts w:hint="eastAsia" w:ascii="Times New Roman" w:hAnsi="Times New Roman" w:cs="Times New Roman"/>
          <w:sz w:val="21"/>
          <w:szCs w:val="24"/>
          <w:lang w:val="en-US" w:eastAsia="zh-CN"/>
        </w:rPr>
        <w:t>ation</w:t>
      </w:r>
      <w:r>
        <w:rPr>
          <w:rFonts w:hint="default" w:ascii="Times New Roman" w:hAnsi="Times New Roman" w:cs="Times New Roman"/>
          <w:sz w:val="21"/>
          <w:szCs w:val="24"/>
        </w:rPr>
        <w:t>, fast</w:t>
      </w:r>
      <w:r>
        <w:rPr>
          <w:rFonts w:hint="eastAsia" w:ascii="Times New Roman" w:hAnsi="Times New Roman" w:cs="Times New Roman"/>
          <w:sz w:val="21"/>
          <w:szCs w:val="24"/>
          <w:lang w:val="en-US" w:eastAsia="zh-CN"/>
        </w:rPr>
        <w:t xml:space="preserve"> and</w:t>
      </w:r>
      <w:r>
        <w:rPr>
          <w:rFonts w:hint="default" w:ascii="Times New Roman" w:hAnsi="Times New Roman" w:cs="Times New Roman"/>
          <w:sz w:val="21"/>
          <w:szCs w:val="24"/>
        </w:rPr>
        <w:t xml:space="preserve"> flexible installation, simple operation, low energy consumption, power efficiency and high yield, </w:t>
      </w:r>
      <w:r>
        <w:rPr>
          <w:rFonts w:hint="eastAsia" w:ascii="Times New Roman" w:hAnsi="Times New Roman" w:cs="Times New Roman"/>
          <w:sz w:val="21"/>
          <w:szCs w:val="24"/>
          <w:lang w:val="en-US" w:eastAsia="zh-CN"/>
        </w:rPr>
        <w:t xml:space="preserve">adopt </w:t>
      </w:r>
      <w:r>
        <w:rPr>
          <w:rFonts w:hint="default" w:ascii="Times New Roman" w:hAnsi="Times New Roman" w:cs="Times New Roman"/>
          <w:sz w:val="21"/>
          <w:szCs w:val="24"/>
        </w:rPr>
        <w:t>60 degrees Celsius below th</w:t>
      </w:r>
      <w:r>
        <w:rPr>
          <w:rFonts w:hint="eastAsia" w:ascii="Times New Roman" w:hAnsi="Times New Roman" w:cs="Times New Roman"/>
          <w:sz w:val="21"/>
          <w:szCs w:val="24"/>
          <w:lang w:val="en-US" w:eastAsia="zh-CN"/>
        </w:rPr>
        <w:t xml:space="preserve">e </w:t>
      </w:r>
      <w:r>
        <w:rPr>
          <w:rFonts w:hint="default" w:ascii="Times New Roman" w:hAnsi="Times New Roman" w:cs="Times New Roman"/>
          <w:sz w:val="21"/>
          <w:szCs w:val="24"/>
        </w:rPr>
        <w:t>low-temperature extrusion pellet process.</w:t>
      </w:r>
      <w:r>
        <w:rPr>
          <w:rFonts w:hint="eastAsia" w:ascii="Times New Roman" w:hAnsi="Times New Roman" w:cs="Times New Roman"/>
          <w:sz w:val="21"/>
          <w:szCs w:val="24"/>
          <w:lang w:val="en-US" w:eastAsia="zh-CN"/>
        </w:rPr>
        <w:t>the success rate of one</w:t>
      </w:r>
      <w:r>
        <w:rPr>
          <w:rFonts w:hint="default" w:ascii="Times New Roman" w:hAnsi="Times New Roman" w:cs="Times New Roman"/>
          <w:sz w:val="21"/>
          <w:szCs w:val="24"/>
        </w:rPr>
        <w:t xml:space="preserve"> extrusion granulation moulding</w:t>
      </w:r>
      <w:r>
        <w:rPr>
          <w:rFonts w:hint="eastAsia" w:ascii="Times New Roman" w:hAnsi="Times New Roman" w:cs="Times New Roman"/>
          <w:sz w:val="21"/>
          <w:szCs w:val="24"/>
          <w:lang w:val="en-US" w:eastAsia="zh-CN"/>
        </w:rPr>
        <w:t xml:space="preserve"> can be </w:t>
      </w:r>
      <w:r>
        <w:rPr>
          <w:rFonts w:hint="default" w:ascii="Times New Roman" w:hAnsi="Times New Roman" w:cs="Times New Roman"/>
          <w:sz w:val="21"/>
          <w:szCs w:val="24"/>
        </w:rPr>
        <w:t xml:space="preserve">90% or more, no return material without sieving, as long as the raw material formula moisture content is appropriate, </w:t>
      </w:r>
      <w:r>
        <w:rPr>
          <w:rFonts w:hint="default" w:ascii="Times New Roman" w:hAnsi="Times New Roman" w:cs="Times New Roman"/>
          <w:b/>
          <w:bCs/>
          <w:i/>
          <w:iCs/>
          <w:sz w:val="21"/>
          <w:szCs w:val="24"/>
        </w:rPr>
        <w:t>generally no need for drying equipment.</w:t>
      </w:r>
      <w:r>
        <w:rPr>
          <w:rFonts w:hint="default" w:ascii="Times New Roman" w:hAnsi="Times New Roman" w:cs="Times New Roman"/>
          <w:sz w:val="21"/>
          <w:szCs w:val="24"/>
        </w:rPr>
        <w:t>(If the extruded pellets need to accelerate the natural cooling of the finished product, can add a cooling machine) can be measured and packaged. The compressive strength of granule is more than 8 Newton.</w:t>
      </w:r>
    </w:p>
    <w:p>
      <w:pPr>
        <w:rPr>
          <w:rFonts w:hint="default" w:ascii="Times New Roman" w:hAnsi="Times New Roman" w:cs="Times New Roman"/>
          <w:sz w:val="21"/>
          <w:szCs w:val="24"/>
        </w:rPr>
      </w:pPr>
      <w:r>
        <w:rPr>
          <w:rFonts w:hint="default" w:ascii="Times New Roman" w:hAnsi="Times New Roman" w:cs="Times New Roman"/>
          <w:sz w:val="21"/>
          <w:szCs w:val="24"/>
        </w:rPr>
        <w:t>The</w:t>
      </w:r>
      <w:r>
        <w:rPr>
          <w:rFonts w:hint="eastAsia" w:ascii="Times New Roman" w:hAnsi="Times New Roman" w:cs="Times New Roman"/>
          <w:sz w:val="21"/>
          <w:szCs w:val="24"/>
          <w:lang w:val="en-US" w:eastAsia="zh-CN"/>
        </w:rPr>
        <w:t xml:space="preserve"> equipment</w:t>
      </w:r>
      <w:r>
        <w:rPr>
          <w:rFonts w:hint="default" w:ascii="Times New Roman" w:hAnsi="Times New Roman" w:cs="Times New Roman"/>
          <w:sz w:val="21"/>
          <w:szCs w:val="24"/>
        </w:rPr>
        <w:t xml:space="preserve"> structure is compact, the quality is stable, and it is suitable for 24 hours continuous work. The flat mould and roller adopts the latest threaded gap adjustment device, which can reduce the wear of flat mould and silver wheel too quickly, and can be compared with the traditional gasket method.Compared with the traditional gasket method, the service life of flat mould and roller is increased by about 30%, which is highly appreciated by the customers.</w:t>
      </w:r>
    </w:p>
    <w:p>
      <w:pPr>
        <w:rPr>
          <w:rFonts w:hint="default" w:ascii="Times New Roman" w:hAnsi="Times New Roman" w:cs="Times New Roman"/>
          <w:sz w:val="21"/>
          <w:szCs w:val="24"/>
        </w:rPr>
      </w:pP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ascii="Times New Roman" w:hAnsi="Times New Roman" w:cs="Times New Roman"/>
          <w:sz w:val="21"/>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01"/>
        <w:gridCol w:w="1078"/>
        <w:gridCol w:w="1024"/>
        <w:gridCol w:w="1034"/>
        <w:gridCol w:w="1042"/>
        <w:gridCol w:w="1051"/>
        <w:gridCol w:w="964"/>
        <w:gridCol w:w="1095"/>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1"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sz w:val="18"/>
                <w:szCs w:val="21"/>
                <w:vertAlign w:val="baseline"/>
              </w:rPr>
            </w:pP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eastAsiaTheme="minorEastAsia"/>
                <w:sz w:val="18"/>
                <w:szCs w:val="21"/>
                <w:vertAlign w:val="baseline"/>
                <w:lang w:val="en-US" w:eastAsia="zh-CN"/>
              </w:rPr>
            </w:pPr>
            <w:r>
              <w:rPr>
                <w:rFonts w:hint="default" w:ascii="Cambria" w:hAnsi="Cambria" w:cs="Cambria"/>
                <w:sz w:val="18"/>
                <w:szCs w:val="21"/>
                <w:vertAlign w:val="baseline"/>
                <w:lang w:val="en-US" w:eastAsia="zh-CN"/>
              </w:rPr>
              <w:t>Model</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sz w:val="18"/>
                <w:szCs w:val="21"/>
                <w:vertAlign w:val="baseline"/>
              </w:rPr>
            </w:pPr>
            <w:r>
              <w:drawing>
                <wp:anchor distT="0" distB="0" distL="114300" distR="114300" simplePos="0" relativeHeight="251660288" behindDoc="0" locked="0" layoutInCell="1" allowOverlap="1">
                  <wp:simplePos x="0" y="0"/>
                  <wp:positionH relativeFrom="column">
                    <wp:posOffset>-88900</wp:posOffset>
                  </wp:positionH>
                  <wp:positionV relativeFrom="paragraph">
                    <wp:posOffset>334645</wp:posOffset>
                  </wp:positionV>
                  <wp:extent cx="6422390" cy="1203325"/>
                  <wp:effectExtent l="0" t="0" r="8890" b="6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6422390" cy="1203325"/>
                          </a:xfrm>
                          <a:prstGeom prst="rect">
                            <a:avLst/>
                          </a:prstGeom>
                          <a:noFill/>
                          <a:ln>
                            <a:noFill/>
                          </a:ln>
                        </pic:spPr>
                      </pic:pic>
                    </a:graphicData>
                  </a:graphic>
                </wp:anchor>
              </w:drawing>
            </w:r>
          </w:p>
        </w:tc>
        <w:tc>
          <w:tcPr>
            <w:tcW w:w="1078"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sz w:val="18"/>
                <w:szCs w:val="21"/>
                <w:vertAlign w:val="baseline"/>
              </w:rPr>
            </w:pPr>
            <w:r>
              <w:rPr>
                <w:rFonts w:hint="default" w:ascii="Cambria" w:hAnsi="Cambria" w:cs="Cambria"/>
                <w:sz w:val="18"/>
                <w:szCs w:val="21"/>
                <w:vertAlign w:val="baseline"/>
              </w:rPr>
              <w:t>particle diameter</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Cambria" w:hAnsi="Cambria" w:cs="Cambria" w:eastAsiaTheme="minorEastAsia"/>
                <w:sz w:val="18"/>
                <w:szCs w:val="21"/>
                <w:vertAlign w:val="baseline"/>
                <w:lang w:eastAsia="zh-CN"/>
              </w:rPr>
            </w:pPr>
            <w:r>
              <w:rPr>
                <w:rFonts w:hint="eastAsia" w:ascii="Cambria" w:hAnsi="Cambria" w:cs="Cambria"/>
                <w:sz w:val="18"/>
                <w:szCs w:val="21"/>
                <w:vertAlign w:val="baseline"/>
                <w:lang w:eastAsia="zh-CN"/>
              </w:rPr>
              <w:t>（</w:t>
            </w:r>
            <w:r>
              <w:rPr>
                <w:rFonts w:hint="eastAsia" w:ascii="Cambria" w:hAnsi="Cambria" w:cs="Cambria"/>
                <w:sz w:val="18"/>
                <w:szCs w:val="21"/>
                <w:vertAlign w:val="baseline"/>
                <w:lang w:val="en-US" w:eastAsia="zh-CN"/>
              </w:rPr>
              <w:t>mm</w:t>
            </w:r>
            <w:r>
              <w:rPr>
                <w:rFonts w:hint="eastAsia" w:ascii="Cambria" w:hAnsi="Cambria" w:cs="Cambria"/>
                <w:sz w:val="18"/>
                <w:szCs w:val="21"/>
                <w:vertAlign w:val="baseline"/>
                <w:lang w:eastAsia="zh-CN"/>
              </w:rPr>
              <w:t>）</w:t>
            </w:r>
          </w:p>
        </w:tc>
        <w:tc>
          <w:tcPr>
            <w:tcW w:w="1024"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sz w:val="16"/>
                <w:szCs w:val="20"/>
                <w:vertAlign w:val="baseline"/>
              </w:rPr>
            </w:pPr>
            <w:r>
              <w:rPr>
                <w:rFonts w:hint="default" w:ascii="Cambria" w:hAnsi="Cambria" w:cs="Cambria"/>
                <w:sz w:val="16"/>
                <w:szCs w:val="20"/>
                <w:vertAlign w:val="baseline"/>
              </w:rPr>
              <w:t>Water content of particles</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eastAsiaTheme="minorEastAsia"/>
                <w:sz w:val="16"/>
                <w:szCs w:val="20"/>
                <w:vertAlign w:val="baseline"/>
                <w:lang w:val="en-US" w:eastAsia="zh-CN"/>
              </w:rPr>
            </w:pPr>
            <w:r>
              <w:rPr>
                <w:rFonts w:hint="eastAsia" w:ascii="Cambria" w:hAnsi="Cambria" w:cs="Cambria"/>
                <w:sz w:val="16"/>
                <w:szCs w:val="20"/>
                <w:vertAlign w:val="baseline"/>
                <w:lang w:val="en-US" w:eastAsia="zh-CN"/>
              </w:rPr>
              <w:t>(%)</w:t>
            </w:r>
          </w:p>
        </w:tc>
        <w:tc>
          <w:tcPr>
            <w:tcW w:w="1034"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sz w:val="16"/>
                <w:szCs w:val="20"/>
                <w:vertAlign w:val="baseline"/>
              </w:rPr>
            </w:pPr>
            <w:r>
              <w:rPr>
                <w:rFonts w:hint="default" w:ascii="Cambria" w:hAnsi="Cambria" w:cs="Cambria"/>
                <w:sz w:val="16"/>
                <w:szCs w:val="20"/>
                <w:vertAlign w:val="baseline"/>
              </w:rPr>
              <w:t>particle strength</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eastAsiaTheme="minorEastAsia"/>
                <w:sz w:val="16"/>
                <w:szCs w:val="20"/>
                <w:vertAlign w:val="baseline"/>
                <w:lang w:val="en-US" w:eastAsia="zh-CN"/>
              </w:rPr>
            </w:pPr>
            <w:r>
              <w:rPr>
                <w:rFonts w:hint="eastAsia" w:ascii="Cambria" w:hAnsi="Cambria" w:cs="Cambria"/>
                <w:sz w:val="16"/>
                <w:szCs w:val="20"/>
                <w:vertAlign w:val="baseline"/>
                <w:lang w:val="en-US" w:eastAsia="zh-CN"/>
              </w:rPr>
              <w:t>(n/mm</w:t>
            </w:r>
            <w:r>
              <w:rPr>
                <w:rFonts w:hint="eastAsia" w:ascii="Cambria" w:hAnsi="Cambria" w:cs="Cambria"/>
                <w:sz w:val="16"/>
                <w:szCs w:val="20"/>
                <w:vertAlign w:val="superscript"/>
                <w:lang w:val="en-US" w:eastAsia="zh-CN"/>
              </w:rPr>
              <w:t>2</w:t>
            </w:r>
            <w:r>
              <w:rPr>
                <w:rFonts w:hint="eastAsia" w:ascii="Cambria" w:hAnsi="Cambria" w:cs="Cambria"/>
                <w:sz w:val="16"/>
                <w:szCs w:val="20"/>
                <w:vertAlign w:val="baseline"/>
                <w:lang w:val="en-US" w:eastAsia="zh-CN"/>
              </w:rPr>
              <w:t>)</w:t>
            </w:r>
          </w:p>
        </w:tc>
        <w:tc>
          <w:tcPr>
            <w:tcW w:w="1042"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sz w:val="15"/>
                <w:szCs w:val="18"/>
                <w:vertAlign w:val="baseline"/>
                <w:lang w:val="en-US" w:eastAsia="zh-CN"/>
              </w:rPr>
            </w:pPr>
            <w:r>
              <w:rPr>
                <w:rFonts w:hint="default" w:ascii="Cambria" w:hAnsi="Cambria" w:cs="Cambria"/>
                <w:sz w:val="15"/>
                <w:szCs w:val="18"/>
                <w:vertAlign w:val="baseline"/>
                <w:lang w:val="en-US" w:eastAsia="zh-CN"/>
              </w:rPr>
              <w:t>Productivity</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sz w:val="18"/>
                <w:szCs w:val="21"/>
                <w:vertAlign w:val="baseline"/>
                <w:lang w:val="en-US" w:eastAsia="zh-CN"/>
              </w:rPr>
            </w:pPr>
            <w:r>
              <w:rPr>
                <w:rFonts w:hint="eastAsia" w:ascii="Cambria" w:hAnsi="Cambria" w:cs="Cambria"/>
                <w:sz w:val="15"/>
                <w:szCs w:val="18"/>
                <w:vertAlign w:val="baseline"/>
                <w:lang w:val="en-US" w:eastAsia="zh-CN"/>
              </w:rPr>
              <w:t>(T/h)</w:t>
            </w:r>
          </w:p>
        </w:tc>
        <w:tc>
          <w:tcPr>
            <w:tcW w:w="1051"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Cambria" w:hAnsi="Cambria" w:cs="Cambria"/>
                <w:sz w:val="18"/>
                <w:szCs w:val="21"/>
                <w:vertAlign w:val="baseline"/>
                <w:lang w:val="en-US" w:eastAsia="zh-CN"/>
              </w:rPr>
            </w:pPr>
            <w:r>
              <w:rPr>
                <w:rFonts w:hint="eastAsia" w:ascii="Cambria" w:hAnsi="Cambria" w:cs="Cambria"/>
                <w:sz w:val="18"/>
                <w:szCs w:val="21"/>
                <w:vertAlign w:val="baseline"/>
                <w:lang w:val="en-US" w:eastAsia="zh-CN"/>
              </w:rPr>
              <w:t>Power</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sz w:val="18"/>
                <w:szCs w:val="21"/>
                <w:vertAlign w:val="baseline"/>
                <w:lang w:val="en-US" w:eastAsia="zh-CN"/>
              </w:rPr>
            </w:pPr>
            <w:r>
              <w:rPr>
                <w:rFonts w:hint="eastAsia" w:ascii="Cambria" w:hAnsi="Cambria" w:cs="Cambria"/>
                <w:sz w:val="18"/>
                <w:szCs w:val="21"/>
                <w:vertAlign w:val="baseline"/>
                <w:lang w:val="en-US" w:eastAsia="zh-CN"/>
              </w:rPr>
              <w:t>(kw)</w:t>
            </w:r>
          </w:p>
        </w:tc>
        <w:tc>
          <w:tcPr>
            <w:tcW w:w="964"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Cambria" w:hAnsi="Cambria" w:cs="Cambria"/>
                <w:sz w:val="18"/>
                <w:szCs w:val="21"/>
                <w:vertAlign w:val="baseline"/>
                <w:lang w:val="en-US" w:eastAsia="zh-CN"/>
              </w:rPr>
            </w:pPr>
            <w:r>
              <w:rPr>
                <w:rFonts w:hint="eastAsia" w:ascii="Cambria" w:hAnsi="Cambria" w:cs="Cambria"/>
                <w:sz w:val="18"/>
                <w:szCs w:val="21"/>
                <w:vertAlign w:val="baseline"/>
                <w:lang w:val="en-US" w:eastAsia="zh-CN"/>
              </w:rPr>
              <w:t>Weight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sz w:val="18"/>
                <w:szCs w:val="21"/>
                <w:vertAlign w:val="baseline"/>
                <w:lang w:val="en-US" w:eastAsia="zh-CN"/>
              </w:rPr>
            </w:pPr>
            <w:r>
              <w:rPr>
                <w:rFonts w:hint="eastAsia" w:ascii="Cambria" w:hAnsi="Cambria" w:cs="Cambria"/>
                <w:sz w:val="18"/>
                <w:szCs w:val="21"/>
                <w:vertAlign w:val="baseline"/>
                <w:lang w:val="en-US" w:eastAsia="zh-CN"/>
              </w:rPr>
              <w:t>(t)</w:t>
            </w:r>
          </w:p>
        </w:tc>
        <w:tc>
          <w:tcPr>
            <w:tcW w:w="1095"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Cambria" w:hAnsi="Cambria" w:cs="Cambria"/>
                <w:sz w:val="18"/>
                <w:szCs w:val="21"/>
                <w:vertAlign w:val="baseline"/>
                <w:lang w:val="en-US" w:eastAsia="zh-CN"/>
              </w:rPr>
            </w:pPr>
            <w:r>
              <w:rPr>
                <w:rFonts w:hint="eastAsia" w:ascii="Cambria" w:hAnsi="Cambria" w:cs="Cambria"/>
                <w:sz w:val="18"/>
                <w:szCs w:val="21"/>
                <w:vertAlign w:val="baseline"/>
                <w:lang w:val="en-US" w:eastAsia="zh-CN"/>
              </w:rPr>
              <w:t>Granulation rate</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sz w:val="18"/>
                <w:szCs w:val="21"/>
                <w:vertAlign w:val="baseline"/>
                <w:lang w:val="en-US" w:eastAsia="zh-CN"/>
              </w:rPr>
            </w:pPr>
            <w:r>
              <w:rPr>
                <w:rFonts w:hint="eastAsia" w:ascii="Cambria" w:hAnsi="Cambria" w:cs="Cambria"/>
                <w:sz w:val="18"/>
                <w:szCs w:val="21"/>
                <w:vertAlign w:val="baseline"/>
                <w:lang w:val="en-US" w:eastAsia="zh-CN"/>
              </w:rPr>
              <w:t>(%)</w:t>
            </w:r>
          </w:p>
        </w:tc>
        <w:tc>
          <w:tcPr>
            <w:tcW w:w="1781"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Cambria" w:hAnsi="Cambria" w:cs="Cambria"/>
                <w:sz w:val="18"/>
                <w:szCs w:val="21"/>
                <w:vertAlign w:val="baseline"/>
                <w:lang w:val="en-US" w:eastAsia="zh-CN"/>
              </w:rPr>
            </w:pPr>
            <w:r>
              <w:rPr>
                <w:rFonts w:hint="eastAsia" w:ascii="Cambria" w:hAnsi="Cambria" w:cs="Cambria"/>
                <w:sz w:val="18"/>
                <w:szCs w:val="21"/>
                <w:vertAlign w:val="baseline"/>
                <w:lang w:val="en-US" w:eastAsia="zh-CN"/>
              </w:rPr>
              <w:t>Machine</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Cambria" w:hAnsi="Cambria" w:cs="Cambria"/>
                <w:sz w:val="18"/>
                <w:szCs w:val="21"/>
                <w:vertAlign w:val="baseline"/>
                <w:lang w:val="en-US" w:eastAsia="zh-CN"/>
              </w:rPr>
            </w:pPr>
            <w:r>
              <w:rPr>
                <w:rFonts w:hint="eastAsia" w:ascii="Cambria" w:hAnsi="Cambria" w:cs="Cambria"/>
                <w:sz w:val="18"/>
                <w:szCs w:val="21"/>
                <w:vertAlign w:val="baseline"/>
                <w:lang w:val="en-US" w:eastAsia="zh-CN"/>
              </w:rPr>
              <w:t>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1" w:type="dxa"/>
          </w:tcPr>
          <w:p>
            <w:pPr>
              <w:rPr>
                <w:sz w:val="20"/>
                <w:szCs w:val="22"/>
                <w:vertAlign w:val="baseline"/>
              </w:rPr>
            </w:pPr>
          </w:p>
        </w:tc>
        <w:tc>
          <w:tcPr>
            <w:tcW w:w="1078" w:type="dxa"/>
          </w:tcPr>
          <w:p>
            <w:pPr>
              <w:rPr>
                <w:sz w:val="20"/>
                <w:szCs w:val="22"/>
                <w:vertAlign w:val="baseline"/>
              </w:rPr>
            </w:pPr>
          </w:p>
        </w:tc>
        <w:tc>
          <w:tcPr>
            <w:tcW w:w="1024" w:type="dxa"/>
          </w:tcPr>
          <w:p>
            <w:pPr>
              <w:rPr>
                <w:sz w:val="20"/>
                <w:szCs w:val="22"/>
                <w:vertAlign w:val="baseline"/>
              </w:rPr>
            </w:pPr>
          </w:p>
        </w:tc>
        <w:tc>
          <w:tcPr>
            <w:tcW w:w="1034" w:type="dxa"/>
          </w:tcPr>
          <w:p>
            <w:pPr>
              <w:rPr>
                <w:sz w:val="20"/>
                <w:szCs w:val="22"/>
                <w:vertAlign w:val="baseline"/>
              </w:rPr>
            </w:pPr>
          </w:p>
        </w:tc>
        <w:tc>
          <w:tcPr>
            <w:tcW w:w="1042" w:type="dxa"/>
          </w:tcPr>
          <w:p>
            <w:pPr>
              <w:rPr>
                <w:sz w:val="20"/>
                <w:szCs w:val="22"/>
                <w:vertAlign w:val="baseline"/>
              </w:rPr>
            </w:pPr>
          </w:p>
        </w:tc>
        <w:tc>
          <w:tcPr>
            <w:tcW w:w="1051" w:type="dxa"/>
          </w:tcPr>
          <w:p>
            <w:pPr>
              <w:rPr>
                <w:sz w:val="20"/>
                <w:szCs w:val="22"/>
                <w:vertAlign w:val="baseline"/>
              </w:rPr>
            </w:pPr>
          </w:p>
        </w:tc>
        <w:tc>
          <w:tcPr>
            <w:tcW w:w="964" w:type="dxa"/>
          </w:tcPr>
          <w:p>
            <w:pPr>
              <w:rPr>
                <w:sz w:val="20"/>
                <w:szCs w:val="22"/>
                <w:vertAlign w:val="baseline"/>
              </w:rPr>
            </w:pPr>
          </w:p>
        </w:tc>
        <w:tc>
          <w:tcPr>
            <w:tcW w:w="1095" w:type="dxa"/>
          </w:tcPr>
          <w:p>
            <w:pPr>
              <w:rPr>
                <w:sz w:val="20"/>
                <w:szCs w:val="22"/>
                <w:vertAlign w:val="baseline"/>
              </w:rPr>
            </w:pPr>
          </w:p>
        </w:tc>
        <w:tc>
          <w:tcPr>
            <w:tcW w:w="1781" w:type="dxa"/>
          </w:tcPr>
          <w:p>
            <w:pPr>
              <w:rPr>
                <w:sz w:val="20"/>
                <w:szCs w:val="22"/>
                <w:vertAlign w:val="baseline"/>
              </w:rPr>
            </w:pPr>
          </w:p>
        </w:tc>
      </w:tr>
    </w:tbl>
    <w:p>
      <w:pPr>
        <w:rPr>
          <w:sz w:val="20"/>
          <w:szCs w:val="22"/>
        </w:rPr>
      </w:pPr>
      <w:bookmarkStart w:id="0" w:name="_GoBack"/>
      <w:r>
        <w:rPr>
          <w:sz w:val="20"/>
          <w:szCs w:val="22"/>
        </w:rPr>
        <w:drawing>
          <wp:anchor distT="0" distB="0" distL="114300" distR="114300" simplePos="0" relativeHeight="251659264" behindDoc="0" locked="0" layoutInCell="1" allowOverlap="1">
            <wp:simplePos x="0" y="0"/>
            <wp:positionH relativeFrom="column">
              <wp:posOffset>1457960</wp:posOffset>
            </wp:positionH>
            <wp:positionV relativeFrom="paragraph">
              <wp:posOffset>1086485</wp:posOffset>
            </wp:positionV>
            <wp:extent cx="3329305" cy="3872230"/>
            <wp:effectExtent l="0" t="0" r="8255"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329305" cy="3872230"/>
                    </a:xfrm>
                    <a:prstGeom prst="rect">
                      <a:avLst/>
                    </a:prstGeom>
                    <a:noFill/>
                    <a:ln>
                      <a:noFill/>
                    </a:ln>
                  </pic:spPr>
                </pic:pic>
              </a:graphicData>
            </a:graphic>
          </wp:anchor>
        </w:drawing>
      </w:r>
      <w:bookmarkEnd w:id="0"/>
    </w:p>
    <w:sectPr>
      <w:pgSz w:w="11906" w:h="16838"/>
      <w:pgMar w:top="1100" w:right="1026" w:bottom="1100" w:left="102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75503292"/>
    <w:rsid w:val="0C410AA7"/>
    <w:rsid w:val="7550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2023-09-19T00:29:00Z</dcterms:created>
  <dc:creator>搜狐自媒体艺食家Judy</dc:creator>
  <cp:lastModifiedBy>搜狐自媒体艺食家Judy</cp:lastModifiedBy>
  <dcterms:modified xsi:type="dcterms:W3CDTF">2023-09-19T01:07:17Z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6B07EC5AC7FA468EB58AB8835B52B57B_11</vt:lpwstr>
  </property>
</Properties>
</file>